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784BC6" w:rsidP="00141335">
      <w:pPr>
        <w:jc w:val="center"/>
        <w:rPr>
          <w:b/>
        </w:rPr>
      </w:pPr>
      <w:r>
        <w:rPr>
          <w:b/>
        </w:rPr>
        <w:t>201</w:t>
      </w:r>
      <w:r w:rsidR="00F13C8D">
        <w:rPr>
          <w:b/>
        </w:rPr>
        <w:t>9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B16DEF">
        <w:rPr>
          <w:b/>
        </w:rPr>
        <w:t>II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21DF3" w:rsidP="00141335">
      <w:pPr>
        <w:jc w:val="center"/>
        <w:rPr>
          <w:b/>
        </w:rPr>
      </w:pPr>
      <w:r w:rsidRPr="000C1E67">
        <w:rPr>
          <w:b/>
        </w:rPr>
        <w:t>201</w:t>
      </w:r>
      <w:r w:rsidR="00F13C8D">
        <w:rPr>
          <w:b/>
        </w:rPr>
        <w:t>9</w:t>
      </w:r>
      <w:r w:rsidRPr="000C1E67">
        <w:rPr>
          <w:b/>
        </w:rPr>
        <w:t>-</w:t>
      </w:r>
      <w:r w:rsidR="00B16DEF">
        <w:rPr>
          <w:b/>
        </w:rPr>
        <w:t>10-14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F13C8D">
        <w:t xml:space="preserve"> ataskaitinį laikotarpį buvo 150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F13C8D">
        <w:t>8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B16DEF">
        <w:t>II</w:t>
      </w:r>
      <w:bookmarkStart w:id="0" w:name="_GoBack"/>
      <w:bookmarkEnd w:id="0"/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B16DEF" w:rsidRDefault="00B16DEF" w:rsidP="00B16DEF">
      <w:pPr>
        <w:ind w:left="1680"/>
        <w:jc w:val="both"/>
      </w:pPr>
    </w:p>
    <w:p w:rsidR="00B16DEF" w:rsidRDefault="00B16DEF" w:rsidP="00B16DEF">
      <w:pPr>
        <w:ind w:left="1680"/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>Tomas Armonavičius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E15A2"/>
    <w:rsid w:val="0041185E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2277"/>
    <w:rsid w:val="009C67C8"/>
    <w:rsid w:val="009D2896"/>
    <w:rsid w:val="009F11CB"/>
    <w:rsid w:val="00A535E8"/>
    <w:rsid w:val="00A84DF3"/>
    <w:rsid w:val="00AA2736"/>
    <w:rsid w:val="00AB014C"/>
    <w:rsid w:val="00B039B9"/>
    <w:rsid w:val="00B16DEF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7</cp:revision>
  <cp:lastPrinted>2017-07-17T07:57:00Z</cp:lastPrinted>
  <dcterms:created xsi:type="dcterms:W3CDTF">2018-10-16T09:22:00Z</dcterms:created>
  <dcterms:modified xsi:type="dcterms:W3CDTF">2019-10-14T11:26:00Z</dcterms:modified>
</cp:coreProperties>
</file>