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A1B" w:rsidRDefault="00EB32F7" w:rsidP="003B3A1B">
      <w:pPr>
        <w:jc w:val="center"/>
        <w:rPr>
          <w:b/>
        </w:rPr>
      </w:pPr>
      <w:r>
        <w:rPr>
          <w:b/>
        </w:rPr>
        <w:t>JONIŠKIO „SAULĖS“ PAGRINDINĖ</w:t>
      </w:r>
      <w:r w:rsidR="003B3A1B" w:rsidRPr="003B3A1B">
        <w:rPr>
          <w:b/>
        </w:rPr>
        <w:t xml:space="preserve"> MOKYKLA</w:t>
      </w:r>
    </w:p>
    <w:p w:rsidR="003B3A1B" w:rsidRDefault="0038216B" w:rsidP="003B3A1B">
      <w:pPr>
        <w:jc w:val="center"/>
        <w:rPr>
          <w:b/>
        </w:rPr>
      </w:pPr>
      <w:r>
        <w:rPr>
          <w:b/>
        </w:rPr>
        <w:t>202</w:t>
      </w:r>
      <w:r w:rsidR="009A4577">
        <w:rPr>
          <w:b/>
        </w:rPr>
        <w:t>2 M. 3</w:t>
      </w:r>
      <w:r w:rsidR="003B3A1B">
        <w:rPr>
          <w:b/>
        </w:rPr>
        <w:t xml:space="preserve">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9B69EA" w:rsidP="003B3A1B">
      <w:pPr>
        <w:jc w:val="center"/>
        <w:rPr>
          <w:b/>
        </w:rPr>
      </w:pPr>
      <w:r>
        <w:rPr>
          <w:b/>
        </w:rPr>
        <w:t>2022-04</w:t>
      </w:r>
      <w:r w:rsidR="00F97FCD">
        <w:rPr>
          <w:b/>
        </w:rPr>
        <w:t>-13</w:t>
      </w:r>
    </w:p>
    <w:p w:rsidR="003B3A1B" w:rsidRPr="003B3A1B" w:rsidRDefault="00EB32F7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2022 m. 3</w:t>
      </w:r>
      <w:r w:rsidR="003B3A1B">
        <w:rPr>
          <w:b/>
        </w:rPr>
        <w:t xml:space="preserve">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9A4577">
              <w:rPr>
                <w:b/>
              </w:rPr>
              <w:t>m. 3</w:t>
            </w:r>
            <w:r w:rsidR="003B3A1B">
              <w:rPr>
                <w:b/>
              </w:rPr>
              <w:t xml:space="preserve">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5900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3331,51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3331,51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9A4577" w:rsidP="00287B2E">
            <w:pPr>
              <w:rPr>
                <w:b/>
              </w:rPr>
            </w:pPr>
            <w:r>
              <w:rPr>
                <w:b/>
              </w:rPr>
              <w:t>5100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4438,32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4438,32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329000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232378,94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232271,94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191500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167317,25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167317,25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9700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6581,64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6581,64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39300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31163,78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31163,78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8420,04</w:t>
            </w:r>
          </w:p>
        </w:tc>
        <w:tc>
          <w:tcPr>
            <w:tcW w:w="1926" w:type="dxa"/>
          </w:tcPr>
          <w:p w:rsidR="00A7790F" w:rsidRDefault="009A4577" w:rsidP="00A7790F">
            <w:pPr>
              <w:rPr>
                <w:b/>
              </w:rPr>
            </w:pPr>
            <w:r>
              <w:rPr>
                <w:b/>
              </w:rPr>
              <w:t>8420,04</w:t>
            </w:r>
          </w:p>
        </w:tc>
      </w:tr>
      <w:tr w:rsidR="00287B2E" w:rsidTr="003B3A1B"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Švietimo paslaugų užtikr</w:t>
            </w:r>
            <w:r w:rsidR="009A4577">
              <w:rPr>
                <w:b/>
              </w:rPr>
              <w:t>inimas ir gerinimas 4.1.3.4.1.67</w:t>
            </w:r>
          </w:p>
        </w:tc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287B2E" w:rsidRDefault="009A4577" w:rsidP="00A7790F">
            <w:pPr>
              <w:rPr>
                <w:b/>
              </w:rPr>
            </w:pPr>
            <w:r>
              <w:rPr>
                <w:b/>
              </w:rPr>
              <w:t>1200</w:t>
            </w:r>
          </w:p>
        </w:tc>
        <w:tc>
          <w:tcPr>
            <w:tcW w:w="1926" w:type="dxa"/>
          </w:tcPr>
          <w:p w:rsidR="00287B2E" w:rsidRDefault="009A4577" w:rsidP="00A7790F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26" w:type="dxa"/>
          </w:tcPr>
          <w:p w:rsidR="00287B2E" w:rsidRDefault="009A4577" w:rsidP="00A7790F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24595" w:rsidTr="003B3A1B">
        <w:tc>
          <w:tcPr>
            <w:tcW w:w="1925" w:type="dxa"/>
          </w:tcPr>
          <w:p w:rsidR="00524595" w:rsidRDefault="009A4577" w:rsidP="007B55BE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  <w:p w:rsidR="009B69EA" w:rsidRDefault="009B69EA" w:rsidP="007B55BE">
            <w:pPr>
              <w:rPr>
                <w:b/>
              </w:rPr>
            </w:pPr>
            <w:r>
              <w:rPr>
                <w:b/>
              </w:rPr>
              <w:t>4.1.3.4.1.70.</w:t>
            </w:r>
          </w:p>
        </w:tc>
        <w:tc>
          <w:tcPr>
            <w:tcW w:w="1925" w:type="dxa"/>
          </w:tcPr>
          <w:p w:rsidR="00524595" w:rsidRDefault="009A4577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524595" w:rsidRDefault="009B69EA" w:rsidP="009A4577">
            <w:pPr>
              <w:rPr>
                <w:b/>
              </w:rPr>
            </w:pPr>
            <w:r>
              <w:rPr>
                <w:b/>
              </w:rPr>
              <w:t>5900</w:t>
            </w:r>
          </w:p>
        </w:tc>
        <w:tc>
          <w:tcPr>
            <w:tcW w:w="1926" w:type="dxa"/>
          </w:tcPr>
          <w:p w:rsidR="00524595" w:rsidRDefault="009A4577" w:rsidP="00A7790F">
            <w:pPr>
              <w:rPr>
                <w:b/>
              </w:rPr>
            </w:pPr>
            <w:r>
              <w:rPr>
                <w:b/>
              </w:rPr>
              <w:t>5746,61</w:t>
            </w:r>
          </w:p>
        </w:tc>
        <w:tc>
          <w:tcPr>
            <w:tcW w:w="1926" w:type="dxa"/>
          </w:tcPr>
          <w:p w:rsidR="00524595" w:rsidRDefault="009A4577" w:rsidP="00A7790F">
            <w:pPr>
              <w:rPr>
                <w:b/>
              </w:rPr>
            </w:pPr>
            <w:r>
              <w:rPr>
                <w:b/>
              </w:rPr>
              <w:t>5746,61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9B69EA" w:rsidP="00A7790F">
            <w:pPr>
              <w:rPr>
                <w:b/>
              </w:rPr>
            </w:pPr>
            <w:r>
              <w:rPr>
                <w:b/>
              </w:rPr>
              <w:t>602700</w:t>
            </w:r>
          </w:p>
        </w:tc>
        <w:tc>
          <w:tcPr>
            <w:tcW w:w="1926" w:type="dxa"/>
          </w:tcPr>
          <w:p w:rsidR="00A7790F" w:rsidRDefault="009B69EA" w:rsidP="00A7790F">
            <w:pPr>
              <w:rPr>
                <w:b/>
              </w:rPr>
            </w:pPr>
            <w:r>
              <w:rPr>
                <w:b/>
              </w:rPr>
              <w:t>459378,09</w:t>
            </w:r>
          </w:p>
        </w:tc>
        <w:tc>
          <w:tcPr>
            <w:tcW w:w="1926" w:type="dxa"/>
          </w:tcPr>
          <w:p w:rsidR="00A7790F" w:rsidRDefault="009B69EA" w:rsidP="00A7790F">
            <w:pPr>
              <w:rPr>
                <w:b/>
              </w:rPr>
            </w:pPr>
            <w:r>
              <w:rPr>
                <w:b/>
              </w:rPr>
              <w:t>459271,09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EB32F7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2022</w:t>
      </w:r>
      <w:bookmarkStart w:id="0" w:name="_GoBack"/>
      <w:bookmarkEnd w:id="0"/>
      <w:r w:rsidR="009A4577">
        <w:rPr>
          <w:b/>
        </w:rPr>
        <w:t xml:space="preserve"> m. per 3</w:t>
      </w:r>
      <w:r w:rsidR="00F97FCD">
        <w:rPr>
          <w:b/>
        </w:rPr>
        <w:t xml:space="preserve"> mėn. gautų asignavimų</w:t>
      </w:r>
      <w:r w:rsidR="002729A3" w:rsidRPr="002729A3">
        <w:rPr>
          <w:b/>
        </w:rPr>
        <w:t xml:space="preserve"> </w:t>
      </w:r>
      <w:r w:rsidR="00F97FCD">
        <w:rPr>
          <w:b/>
        </w:rPr>
        <w:t>nepanaudota 107 Eur. Mokymo lėšos kvalifikacijos kėlimui.</w:t>
      </w:r>
      <w:r w:rsidR="002729A3" w:rsidRPr="002729A3">
        <w:rPr>
          <w:b/>
        </w:rPr>
        <w:t xml:space="preserve">  Negauti pagal planą asignavimai planuojami gauti ir panaudoti iki metų pabaigos. Biudžetinių lėšų sąskaitoje likuči</w:t>
      </w:r>
      <w:r w:rsidR="005E7640">
        <w:rPr>
          <w:b/>
        </w:rPr>
        <w:t>o metų pradžiai nebuvo</w:t>
      </w:r>
      <w:r w:rsidR="00F97FCD">
        <w:rPr>
          <w:b/>
        </w:rPr>
        <w:t xml:space="preserve">, </w:t>
      </w:r>
      <w:r w:rsidR="005E7640">
        <w:rPr>
          <w:b/>
        </w:rPr>
        <w:t xml:space="preserve"> trečio</w:t>
      </w:r>
      <w:r w:rsidR="002729A3" w:rsidRPr="002729A3">
        <w:rPr>
          <w:b/>
        </w:rPr>
        <w:t xml:space="preserve"> ketvirčio pabaigoje </w:t>
      </w:r>
      <w:r w:rsidR="009A4577">
        <w:rPr>
          <w:b/>
        </w:rPr>
        <w:t>likutis 107,00Eur. Mokymo lėšos kvalifikacijos kėlimui.</w:t>
      </w:r>
    </w:p>
    <w:p w:rsidR="002729A3" w:rsidRDefault="00F97FCD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2022</w:t>
      </w:r>
      <w:r w:rsidR="002729A3">
        <w:rPr>
          <w:b/>
        </w:rPr>
        <w:t xml:space="preserve"> m. </w:t>
      </w:r>
      <w:r>
        <w:rPr>
          <w:b/>
        </w:rPr>
        <w:t>kovo 31</w:t>
      </w:r>
      <w:r w:rsidR="002729A3">
        <w:rPr>
          <w:b/>
        </w:rPr>
        <w:t xml:space="preserve"> d. </w:t>
      </w:r>
      <w:r w:rsidR="00B57DBB">
        <w:rPr>
          <w:b/>
        </w:rPr>
        <w:t xml:space="preserve">– </w:t>
      </w:r>
      <w:r w:rsidR="00727719">
        <w:rPr>
          <w:b/>
        </w:rPr>
        <w:t>187003,06</w:t>
      </w:r>
      <w:r w:rsidR="009827C1">
        <w:rPr>
          <w:b/>
        </w:rPr>
        <w:t xml:space="preserve"> Eur. Mokėtinas sumas sudaro i</w:t>
      </w:r>
      <w:r w:rsidR="00704E79">
        <w:rPr>
          <w:b/>
        </w:rPr>
        <w:t>š savivaldybės biudžeto-</w:t>
      </w:r>
      <w:r w:rsidR="00727719">
        <w:rPr>
          <w:b/>
        </w:rPr>
        <w:t>68843,35</w:t>
      </w:r>
      <w:r w:rsidR="009827C1">
        <w:rPr>
          <w:b/>
        </w:rPr>
        <w:t xml:space="preserve"> Eur., Mokymo lėšų-</w:t>
      </w:r>
      <w:r w:rsidR="00727719">
        <w:rPr>
          <w:b/>
        </w:rPr>
        <w:t>88630,41</w:t>
      </w:r>
      <w:r w:rsidR="006F2D43">
        <w:rPr>
          <w:b/>
        </w:rPr>
        <w:t xml:space="preserve"> </w:t>
      </w:r>
      <w:r w:rsidR="009827C1">
        <w:rPr>
          <w:b/>
        </w:rPr>
        <w:t>Eur. VB(SB) lėšų-</w:t>
      </w:r>
      <w:r w:rsidR="00727719">
        <w:rPr>
          <w:b/>
        </w:rPr>
        <w:t>2121,16</w:t>
      </w:r>
      <w:r w:rsidR="009827C1">
        <w:rPr>
          <w:b/>
        </w:rPr>
        <w:t xml:space="preserve"> Specialioji tikslinė dotacija asmenims su sunkia negalia-</w:t>
      </w:r>
      <w:r w:rsidR="00727719">
        <w:rPr>
          <w:b/>
        </w:rPr>
        <w:t>13250,15</w:t>
      </w:r>
      <w:r w:rsidR="009827C1">
        <w:rPr>
          <w:b/>
        </w:rPr>
        <w:t xml:space="preserve"> Biudžetinių įstaigų pajamos</w:t>
      </w:r>
      <w:r w:rsidR="00CE34F9">
        <w:rPr>
          <w:b/>
        </w:rPr>
        <w:t>-</w:t>
      </w:r>
      <w:r w:rsidR="00727719">
        <w:rPr>
          <w:b/>
        </w:rPr>
        <w:t>4816,80</w:t>
      </w:r>
      <w:r w:rsidR="00704E79">
        <w:rPr>
          <w:b/>
        </w:rPr>
        <w:t xml:space="preserve"> </w:t>
      </w:r>
      <w:r w:rsidR="00CC34B9">
        <w:rPr>
          <w:b/>
        </w:rPr>
        <w:t>Nemokamas maitinimas-</w:t>
      </w:r>
      <w:r w:rsidR="00727719">
        <w:rPr>
          <w:b/>
        </w:rPr>
        <w:t>5008,44</w:t>
      </w:r>
      <w:r w:rsidR="00CC34B9">
        <w:rPr>
          <w:b/>
        </w:rPr>
        <w:t xml:space="preserve"> Eur.</w:t>
      </w:r>
      <w:r w:rsidR="00B57DBB">
        <w:rPr>
          <w:b/>
        </w:rPr>
        <w:t xml:space="preserve"> </w:t>
      </w:r>
      <w:r w:rsidR="00EB32F7">
        <w:rPr>
          <w:b/>
        </w:rPr>
        <w:t xml:space="preserve">Soc.darbuotojų koef.didinimui-4180,39Eur. </w:t>
      </w:r>
      <w:r w:rsidR="00B57DBB">
        <w:rPr>
          <w:b/>
        </w:rPr>
        <w:t>Kitos lėšos</w:t>
      </w:r>
      <w:r w:rsidR="00316E52">
        <w:rPr>
          <w:b/>
        </w:rPr>
        <w:t>-</w:t>
      </w:r>
      <w:r w:rsidR="00727719">
        <w:rPr>
          <w:b/>
        </w:rPr>
        <w:t>152,36</w:t>
      </w:r>
      <w:r w:rsidR="00704E79">
        <w:rPr>
          <w:b/>
        </w:rPr>
        <w:t>Eur.</w:t>
      </w:r>
      <w:r w:rsidR="00074222">
        <w:rPr>
          <w:b/>
        </w:rPr>
        <w:t xml:space="preserve"> Mokėtinos sumos numatomos sumokėti </w:t>
      </w:r>
      <w:r>
        <w:rPr>
          <w:b/>
        </w:rPr>
        <w:t>balandžio</w:t>
      </w:r>
      <w:r w:rsidR="00704E79">
        <w:rPr>
          <w:b/>
        </w:rPr>
        <w:t xml:space="preserve"> mėn. Gautinas sumos 202</w:t>
      </w:r>
      <w:r w:rsidR="00EB32F7">
        <w:rPr>
          <w:b/>
        </w:rPr>
        <w:t>2</w:t>
      </w:r>
      <w:r w:rsidR="00074222">
        <w:rPr>
          <w:b/>
        </w:rPr>
        <w:t xml:space="preserve"> m. </w:t>
      </w:r>
      <w:r w:rsidR="00EB32F7">
        <w:rPr>
          <w:b/>
        </w:rPr>
        <w:t>kovo 31</w:t>
      </w:r>
      <w:r w:rsidR="00074222">
        <w:rPr>
          <w:b/>
        </w:rPr>
        <w:t xml:space="preserve"> d.  </w:t>
      </w:r>
      <w:r w:rsidR="00EB32F7">
        <w:rPr>
          <w:b/>
        </w:rPr>
        <w:t xml:space="preserve">3720,66 </w:t>
      </w:r>
      <w:r w:rsidR="00074222">
        <w:rPr>
          <w:b/>
        </w:rPr>
        <w:t>Eur.</w:t>
      </w:r>
      <w:r w:rsidR="002805E2">
        <w:rPr>
          <w:b/>
        </w:rPr>
        <w:t xml:space="preserve">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EB32F7">
        <w:rPr>
          <w:b/>
        </w:rPr>
        <w:t>1930,18</w:t>
      </w:r>
      <w:r w:rsidR="00F90306">
        <w:rPr>
          <w:b/>
        </w:rPr>
        <w:t xml:space="preserve"> </w:t>
      </w:r>
      <w:r w:rsidR="002805E2">
        <w:rPr>
          <w:b/>
        </w:rPr>
        <w:t>Eur. , už sute</w:t>
      </w:r>
      <w:r w:rsidR="00F90306">
        <w:rPr>
          <w:b/>
        </w:rPr>
        <w:t>i</w:t>
      </w:r>
      <w:r w:rsidR="002805E2">
        <w:rPr>
          <w:b/>
        </w:rPr>
        <w:t>ktas paslaugas ir patalpų nuomą-</w:t>
      </w:r>
      <w:r w:rsidR="00EB32F7">
        <w:rPr>
          <w:b/>
        </w:rPr>
        <w:t>736,91</w:t>
      </w:r>
      <w:r w:rsidR="002805E2">
        <w:rPr>
          <w:b/>
        </w:rPr>
        <w:t xml:space="preserve"> Eur.</w:t>
      </w:r>
      <w:r w:rsidR="00F90306">
        <w:rPr>
          <w:b/>
        </w:rPr>
        <w:t xml:space="preserve">  Ir kitos gautinos sumos-</w:t>
      </w:r>
      <w:r w:rsidR="00EB32F7">
        <w:rPr>
          <w:b/>
        </w:rPr>
        <w:t>1053,57</w:t>
      </w:r>
      <w:r w:rsidR="00F90306">
        <w:rPr>
          <w:b/>
        </w:rPr>
        <w:t xml:space="preserve"> 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7B2E" w:rsidRDefault="00367A7B" w:rsidP="002805E2">
      <w:pPr>
        <w:rPr>
          <w:b/>
        </w:rPr>
      </w:pPr>
      <w:r>
        <w:rPr>
          <w:b/>
        </w:rPr>
        <w:t xml:space="preserve">Direktorė                                                   </w:t>
      </w:r>
      <w:r w:rsidR="00287B2E">
        <w:rPr>
          <w:b/>
        </w:rPr>
        <w:t xml:space="preserve"> </w:t>
      </w:r>
      <w:r w:rsidR="002805E2">
        <w:rPr>
          <w:b/>
        </w:rPr>
        <w:t xml:space="preserve">                                   </w:t>
      </w:r>
      <w:r w:rsidR="00287B2E">
        <w:rPr>
          <w:b/>
        </w:rPr>
        <w:t>Aldona Laucienė</w:t>
      </w:r>
    </w:p>
    <w:p w:rsidR="002805E2" w:rsidRPr="002805E2" w:rsidRDefault="00287B2E" w:rsidP="002805E2">
      <w:pPr>
        <w:rPr>
          <w:b/>
        </w:rPr>
      </w:pPr>
      <w:r>
        <w:rPr>
          <w:b/>
        </w:rPr>
        <w:t>V</w:t>
      </w:r>
      <w:r w:rsidR="002805E2">
        <w:rPr>
          <w:b/>
        </w:rPr>
        <w:t>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AA6" w:rsidRDefault="00AF5AA6" w:rsidP="003B3A1B">
      <w:pPr>
        <w:spacing w:after="0" w:line="240" w:lineRule="auto"/>
      </w:pPr>
      <w:r>
        <w:separator/>
      </w:r>
    </w:p>
  </w:endnote>
  <w:endnote w:type="continuationSeparator" w:id="0">
    <w:p w:rsidR="00AF5AA6" w:rsidRDefault="00AF5AA6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AA6" w:rsidRDefault="00AF5AA6" w:rsidP="003B3A1B">
      <w:pPr>
        <w:spacing w:after="0" w:line="240" w:lineRule="auto"/>
      </w:pPr>
      <w:r>
        <w:separator/>
      </w:r>
    </w:p>
  </w:footnote>
  <w:footnote w:type="continuationSeparator" w:id="0">
    <w:p w:rsidR="00AF5AA6" w:rsidRDefault="00AF5AA6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87B2E"/>
    <w:rsid w:val="002A2A7A"/>
    <w:rsid w:val="00316E52"/>
    <w:rsid w:val="00367A7B"/>
    <w:rsid w:val="00374504"/>
    <w:rsid w:val="0038216B"/>
    <w:rsid w:val="00384E70"/>
    <w:rsid w:val="00385390"/>
    <w:rsid w:val="003B3A1B"/>
    <w:rsid w:val="00485F0E"/>
    <w:rsid w:val="004C6CEA"/>
    <w:rsid w:val="005219F7"/>
    <w:rsid w:val="00524595"/>
    <w:rsid w:val="00547D5A"/>
    <w:rsid w:val="00567427"/>
    <w:rsid w:val="005E7640"/>
    <w:rsid w:val="00607901"/>
    <w:rsid w:val="0066783A"/>
    <w:rsid w:val="006F2D43"/>
    <w:rsid w:val="006F5DFB"/>
    <w:rsid w:val="00704E79"/>
    <w:rsid w:val="00727719"/>
    <w:rsid w:val="00741D8E"/>
    <w:rsid w:val="007B55BE"/>
    <w:rsid w:val="007B7474"/>
    <w:rsid w:val="00897EA3"/>
    <w:rsid w:val="008D07A8"/>
    <w:rsid w:val="0092567E"/>
    <w:rsid w:val="009822AF"/>
    <w:rsid w:val="009827C1"/>
    <w:rsid w:val="009A4577"/>
    <w:rsid w:val="009B69EA"/>
    <w:rsid w:val="00A6103B"/>
    <w:rsid w:val="00A7790F"/>
    <w:rsid w:val="00AF5AA6"/>
    <w:rsid w:val="00B51CD8"/>
    <w:rsid w:val="00B57DBB"/>
    <w:rsid w:val="00B97486"/>
    <w:rsid w:val="00BA5CBA"/>
    <w:rsid w:val="00BB23C0"/>
    <w:rsid w:val="00C17CA6"/>
    <w:rsid w:val="00C34C89"/>
    <w:rsid w:val="00CC34B9"/>
    <w:rsid w:val="00CE34F9"/>
    <w:rsid w:val="00D76129"/>
    <w:rsid w:val="00DA2ADC"/>
    <w:rsid w:val="00DA79AE"/>
    <w:rsid w:val="00E11D9E"/>
    <w:rsid w:val="00E404B2"/>
    <w:rsid w:val="00E51575"/>
    <w:rsid w:val="00E63283"/>
    <w:rsid w:val="00EB32F7"/>
    <w:rsid w:val="00EF290A"/>
    <w:rsid w:val="00F6127A"/>
    <w:rsid w:val="00F90306"/>
    <w:rsid w:val="00F97FCD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Vyr-Buhalterė</cp:lastModifiedBy>
  <cp:revision>29</cp:revision>
  <cp:lastPrinted>2021-10-12T09:17:00Z</cp:lastPrinted>
  <dcterms:created xsi:type="dcterms:W3CDTF">2020-04-10T10:16:00Z</dcterms:created>
  <dcterms:modified xsi:type="dcterms:W3CDTF">2022-04-13T10:26:00Z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